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Pr="007F677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  <w:r w:rsidRPr="007F6771">
        <w:rPr>
          <w:rFonts w:ascii="Georgia" w:hAnsi="Georgia" w:cs="Courier New"/>
          <w:b/>
          <w:sz w:val="36"/>
          <w:szCs w:val="36"/>
        </w:rPr>
        <w:t>Д А Й Д Ж Е С Т</w:t>
      </w:r>
      <w:r>
        <w:rPr>
          <w:rFonts w:ascii="Georgia" w:hAnsi="Georgia" w:cs="Courier New"/>
          <w:b/>
          <w:sz w:val="36"/>
          <w:szCs w:val="36"/>
        </w:rPr>
        <w:t xml:space="preserve"> </w:t>
      </w:r>
      <w:r w:rsidRPr="007F6771">
        <w:rPr>
          <w:rFonts w:ascii="Georgia" w:hAnsi="Georgia" w:cs="Courier New"/>
          <w:b/>
          <w:sz w:val="36"/>
          <w:szCs w:val="36"/>
        </w:rPr>
        <w:t>П У Б Л И К А Ц И Й</w:t>
      </w:r>
      <w:r>
        <w:rPr>
          <w:rFonts w:ascii="Georgia" w:hAnsi="Georgia" w:cs="Courier New"/>
          <w:b/>
          <w:sz w:val="36"/>
          <w:szCs w:val="36"/>
        </w:rPr>
        <w:t xml:space="preserve"> </w:t>
      </w:r>
      <w:r w:rsidRPr="007F6771">
        <w:rPr>
          <w:rFonts w:ascii="Georgia" w:hAnsi="Georgia" w:cs="Courier New"/>
          <w:b/>
          <w:sz w:val="36"/>
          <w:szCs w:val="36"/>
        </w:rPr>
        <w:t>С М И</w:t>
      </w:r>
    </w:p>
    <w:p w:rsidR="00B562B1" w:rsidRPr="007F677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6"/>
          <w:szCs w:val="36"/>
        </w:rPr>
      </w:pPr>
    </w:p>
    <w:p w:rsidR="00B562B1" w:rsidRPr="007F677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2"/>
          <w:szCs w:val="32"/>
        </w:rPr>
      </w:pPr>
      <w:r w:rsidRPr="007F6771">
        <w:rPr>
          <w:rFonts w:ascii="Georgia" w:hAnsi="Georgia" w:cs="Courier New"/>
          <w:b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B562B1" w:rsidRPr="007F677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  <w:r w:rsidRPr="007F6771">
        <w:rPr>
          <w:rFonts w:ascii="Georgia" w:hAnsi="Georgia" w:cs="Courier New"/>
          <w:b/>
          <w:i/>
          <w:sz w:val="32"/>
          <w:szCs w:val="32"/>
        </w:rPr>
        <w:t>(</w:t>
      </w:r>
      <w:r>
        <w:rPr>
          <w:rFonts w:ascii="Georgia" w:hAnsi="Georgia" w:cs="Courier New"/>
          <w:b/>
          <w:i/>
          <w:sz w:val="32"/>
          <w:szCs w:val="32"/>
        </w:rPr>
        <w:t>23 ноября 2015</w:t>
      </w:r>
      <w:r w:rsidRPr="007F6771">
        <w:rPr>
          <w:rFonts w:ascii="Georgia" w:hAnsi="Georgia" w:cs="Courier New"/>
          <w:b/>
          <w:i/>
          <w:sz w:val="32"/>
          <w:szCs w:val="32"/>
        </w:rPr>
        <w:t xml:space="preserve"> г.)</w:t>
      </w: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b/>
          <w:i/>
          <w:sz w:val="32"/>
          <w:szCs w:val="32"/>
        </w:rPr>
      </w:pPr>
    </w:p>
    <w:p w:rsidR="00B562B1" w:rsidRPr="007F6771" w:rsidRDefault="00B562B1" w:rsidP="00B562B1">
      <w:pPr>
        <w:pStyle w:val="21"/>
        <w:ind w:firstLine="0"/>
        <w:jc w:val="center"/>
        <w:rPr>
          <w:rFonts w:ascii="Georgia" w:hAnsi="Georgia" w:cs="Courier New"/>
          <w:i/>
          <w:sz w:val="32"/>
          <w:szCs w:val="32"/>
        </w:rPr>
      </w:pPr>
      <w:r w:rsidRPr="007F6771">
        <w:rPr>
          <w:rFonts w:ascii="Georgia" w:hAnsi="Georgia" w:cs="Courier New"/>
          <w:i/>
          <w:sz w:val="32"/>
          <w:szCs w:val="32"/>
        </w:rPr>
        <w:t>(Подготовлен по материалам мониторинга</w:t>
      </w:r>
    </w:p>
    <w:p w:rsidR="00B562B1" w:rsidRDefault="00B562B1" w:rsidP="00B562B1">
      <w:pPr>
        <w:pStyle w:val="21"/>
        <w:ind w:firstLine="0"/>
        <w:jc w:val="center"/>
        <w:rPr>
          <w:rFonts w:ascii="Georgia" w:hAnsi="Georgia" w:cs="Courier New"/>
          <w:i/>
          <w:sz w:val="32"/>
          <w:szCs w:val="32"/>
        </w:rPr>
      </w:pPr>
      <w:r w:rsidRPr="007F6771">
        <w:rPr>
          <w:rFonts w:ascii="Georgia" w:hAnsi="Georgia" w:cs="Courier New"/>
          <w:i/>
          <w:sz w:val="32"/>
          <w:szCs w:val="32"/>
        </w:rPr>
        <w:t>федеральных и региональных СМИ, электронным версиям центральных изданий)</w:t>
      </w:r>
    </w:p>
    <w:p w:rsidR="00B562B1" w:rsidRDefault="00B562B1" w:rsidP="00B562B1">
      <w:pPr>
        <w:pStyle w:val="21"/>
        <w:ind w:firstLine="0"/>
        <w:rPr>
          <w:rFonts w:ascii="Georgia" w:hAnsi="Georgia" w:cs="Courier New"/>
          <w:sz w:val="36"/>
          <w:szCs w:val="36"/>
        </w:rPr>
      </w:pPr>
    </w:p>
    <w:p w:rsidR="00B562B1" w:rsidRDefault="00B562B1" w:rsidP="00B562B1">
      <w:pPr>
        <w:pStyle w:val="21"/>
        <w:ind w:firstLine="0"/>
        <w:rPr>
          <w:rFonts w:ascii="Georgia" w:hAnsi="Georgia" w:cs="Courier New"/>
          <w:sz w:val="36"/>
          <w:szCs w:val="36"/>
        </w:rPr>
      </w:pPr>
    </w:p>
    <w:p w:rsidR="00B562B1" w:rsidRDefault="00B562B1" w:rsidP="00B562B1">
      <w:pPr>
        <w:pStyle w:val="21"/>
        <w:ind w:firstLine="0"/>
        <w:rPr>
          <w:rFonts w:ascii="Georgia" w:hAnsi="Georgia" w:cs="Courier New"/>
          <w:sz w:val="36"/>
          <w:szCs w:val="36"/>
        </w:rPr>
      </w:pPr>
    </w:p>
    <w:p w:rsidR="00B562B1" w:rsidRDefault="00B562B1" w:rsidP="00B562B1">
      <w:pPr>
        <w:pStyle w:val="21"/>
        <w:ind w:firstLine="0"/>
        <w:rPr>
          <w:rFonts w:ascii="Georgia" w:hAnsi="Georgia" w:cs="Courier New"/>
          <w:sz w:val="36"/>
          <w:szCs w:val="36"/>
        </w:rPr>
      </w:pPr>
    </w:p>
    <w:p w:rsidR="00B562B1" w:rsidRDefault="00B562B1" w:rsidP="00B562B1">
      <w:pPr>
        <w:pStyle w:val="21"/>
        <w:ind w:firstLine="0"/>
        <w:rPr>
          <w:rFonts w:ascii="Georgia" w:hAnsi="Georgia" w:cs="Courier New"/>
          <w:sz w:val="36"/>
          <w:szCs w:val="36"/>
        </w:rPr>
      </w:pPr>
    </w:p>
    <w:p w:rsidR="00B562B1" w:rsidRPr="00D06FB1" w:rsidRDefault="00B562B1" w:rsidP="00B562B1">
      <w:pPr>
        <w:jc w:val="center"/>
      </w:pPr>
      <w:r w:rsidRPr="007F6771">
        <w:rPr>
          <w:b/>
          <w:i/>
          <w:caps/>
          <w:sz w:val="26"/>
          <w:szCs w:val="26"/>
        </w:rPr>
        <w:lastRenderedPageBreak/>
        <w:t>Оглавление</w:t>
      </w: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t>МИНСЕЛЬХОЗ РФ НАЧИНАЕТ СБОР ЗАЯВОК ПО ПРОЕКТАМ НА ВОЗМЕЩЕНИЕ КАПЗАТРАТ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20.11.2015</w:t>
      </w:r>
      <w:r w:rsidRPr="00B562B1">
        <w:rPr>
          <w:rFonts w:ascii="Monotype Corsiva" w:hAnsi="Monotype Corsiva"/>
          <w:i/>
        </w:rPr>
        <w:t>………</w:t>
      </w:r>
      <w:r w:rsidRPr="00B562B1">
        <w:rPr>
          <w:rFonts w:ascii="Monotype Corsiva" w:hAnsi="Monotype Corsiva"/>
        </w:rPr>
        <w:t>………………………………………………………………….……………</w:t>
      </w:r>
      <w:r w:rsidRPr="00B562B1">
        <w:rPr>
          <w:rFonts w:ascii="Monotype Corsiva" w:hAnsi="Monotype Corsiva"/>
          <w:i/>
        </w:rPr>
        <w:t>………</w:t>
      </w:r>
      <w:r>
        <w:rPr>
          <w:rFonts w:ascii="Monotype Corsiva" w:hAnsi="Monotype Corsiva"/>
          <w:i/>
        </w:rPr>
        <w:t>3</w:t>
      </w: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t>РЫНКАМ ХОТЯТ НАЗНАЧИТЬ НОВЫЙ СРОК. ЗА ФЕРМЕРОВ ОПЯТЬ ЗАСТУПИЛИСЬ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20.11.2015</w:t>
      </w:r>
      <w:r w:rsidRPr="00B562B1">
        <w:rPr>
          <w:rFonts w:ascii="Monotype Corsiva" w:hAnsi="Monotype Corsiva"/>
          <w:i/>
        </w:rPr>
        <w:t>………</w:t>
      </w:r>
      <w:r w:rsidRPr="00B562B1">
        <w:rPr>
          <w:rFonts w:ascii="Monotype Corsiva" w:hAnsi="Monotype Corsiva"/>
        </w:rPr>
        <w:t>………………………………………………………………….……………</w:t>
      </w:r>
      <w:r w:rsidRPr="00B562B1">
        <w:rPr>
          <w:rFonts w:ascii="Monotype Corsiva" w:hAnsi="Monotype Corsiva"/>
          <w:i/>
        </w:rPr>
        <w:t>………</w:t>
      </w:r>
      <w:r>
        <w:rPr>
          <w:rFonts w:ascii="Monotype Corsiva" w:hAnsi="Monotype Corsiva"/>
          <w:i/>
        </w:rPr>
        <w:t>3</w:t>
      </w: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t>МИНСЕЛЬХОЗ: ТОВАРООБОРОТ ПРОДОВОЛЬСТВИЯ МЕЖДУ РФ И УКРАИНОЙ ПРОДОЛЖАЕТ СНИЖАТЬСЯ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20.11.2015</w:t>
      </w:r>
      <w:r w:rsidRPr="00B562B1">
        <w:rPr>
          <w:rFonts w:ascii="Monotype Corsiva" w:hAnsi="Monotype Corsiva"/>
          <w:i/>
        </w:rPr>
        <w:t>………</w:t>
      </w:r>
      <w:r w:rsidRPr="00B562B1">
        <w:rPr>
          <w:rFonts w:ascii="Monotype Corsiva" w:hAnsi="Monotype Corsiva"/>
        </w:rPr>
        <w:t>………………………………………………………………….……………</w:t>
      </w:r>
      <w:r w:rsidRPr="00B562B1">
        <w:rPr>
          <w:rFonts w:ascii="Monotype Corsiva" w:hAnsi="Monotype Corsiva"/>
          <w:i/>
        </w:rPr>
        <w:t>………4</w:t>
      </w: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Times New Roman" w:hAnsi="Times New Roman" w:cs="Times New Roman"/>
          <w:b/>
        </w:rPr>
        <w:t>ФАС ВОЗБУДИЛА ДЕЛО ПРОТИВ БЕЛГОРОДСКОГО ГУБЕРНАТОРА САВЧЕНКО</w:t>
      </w:r>
      <w:r w:rsidRPr="00B562B1">
        <w:rPr>
          <w:rFonts w:ascii="Monotype Corsiva" w:hAnsi="Monotype Corsiva"/>
        </w:rPr>
        <w:t xml:space="preserve"> 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20.11.2015</w:t>
      </w:r>
      <w:r w:rsidRPr="00B562B1">
        <w:rPr>
          <w:rFonts w:ascii="Monotype Corsiva" w:hAnsi="Monotype Corsiva"/>
          <w:i/>
        </w:rPr>
        <w:t>………</w:t>
      </w:r>
      <w:r w:rsidRPr="00B562B1">
        <w:rPr>
          <w:rFonts w:ascii="Monotype Corsiva" w:hAnsi="Monotype Corsiva"/>
        </w:rPr>
        <w:t>………………………………………………………………….……………</w:t>
      </w:r>
      <w:r w:rsidRPr="00B562B1">
        <w:rPr>
          <w:rFonts w:ascii="Monotype Corsiva" w:hAnsi="Monotype Corsiva"/>
          <w:i/>
        </w:rPr>
        <w:t>………</w:t>
      </w:r>
      <w:r>
        <w:rPr>
          <w:rFonts w:ascii="Monotype Corsiva" w:hAnsi="Monotype Corsiva"/>
          <w:i/>
        </w:rPr>
        <w:t>5</w:t>
      </w: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B562B1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0801ED" w:rsidRDefault="000801ED" w:rsidP="00C72412">
      <w:pPr>
        <w:spacing w:after="0"/>
        <w:rPr>
          <w:rFonts w:ascii="Times New Roman" w:hAnsi="Times New Roman" w:cs="Times New Roman"/>
          <w:b/>
        </w:rPr>
      </w:pPr>
    </w:p>
    <w:p w:rsidR="000801ED" w:rsidRDefault="000801ED" w:rsidP="00C72412">
      <w:pPr>
        <w:spacing w:after="0"/>
        <w:rPr>
          <w:rFonts w:ascii="Times New Roman" w:hAnsi="Times New Roman" w:cs="Times New Roman"/>
          <w:b/>
        </w:rPr>
      </w:pPr>
    </w:p>
    <w:p w:rsid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B562B1" w:rsidRPr="00B562B1" w:rsidRDefault="00B562B1" w:rsidP="00C72412">
      <w:pPr>
        <w:spacing w:after="0"/>
        <w:rPr>
          <w:rFonts w:ascii="Times New Roman" w:hAnsi="Times New Roman" w:cs="Times New Roman"/>
          <w:b/>
        </w:rPr>
      </w:pPr>
    </w:p>
    <w:p w:rsidR="004A7975" w:rsidRPr="00B562B1" w:rsidRDefault="004A7975" w:rsidP="00C72412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lastRenderedPageBreak/>
        <w:t>МИНСЕЛЬХОЗ РФ НАЧИНАЕТ СБОР ЗАЯВОК ПО ПРОЕКТАМ НА ВОЗМЕЩЕНИЕ КАПЗАТРАТ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23.11.2015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Прием заявок продлится до 27 ноября 2015 года, после чего проекты будут проанализированы рабочей группой на соответствие требованиям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Минсельхоз РФ сегодня начинает сбор заявок по проектам, претендующим на субсидии по возмещению прямых затрат. Об этом сообщили в пресс-службе министерства.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"Отбирать будут проекты по тепличным и молочным комплексам, а также ОРЦ (оптово-распределительные центры)", - пояснили в пресс-службе.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Прием заявок продлится до 27 ноября 2015 года, после чего проекты будут проанализированы рабочей группой на соответствие требованиям и вынесены на отбор в комиссию под председательством профильного министра Александра Ткачева.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 июне Минсельхоз внес в правительство окончательную редакцию правил предоставления и распределения субсидий на возмещение части прямых затрат на создание и модернизацию объектов АПК. Председатель правительства Дмитрий Медведев 24 июня 2015 года подписал данное постановление.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Вице-премьер Аркадий Дворкович 18 ноября 2015 года сообщил, что первые возмещения производители получат уже в декабре этого года. Они составят 20% от капитальных затрат. Однако процент возмещения в молочной отрасли будет увеличен уже в 2016 году, отметил Дворкович. Возмещения по остальным направлениям останутся на прежнем уровне.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Ранее Ткачев заявлял о необходимости довести субсидирование по возмещению капзатрат в молочной отрасли до 35%.</w:t>
      </w:r>
    </w:p>
    <w:p w:rsidR="00C72412" w:rsidRPr="00B562B1" w:rsidRDefault="00C72412" w:rsidP="00C72412">
      <w:pPr>
        <w:spacing w:after="0"/>
        <w:rPr>
          <w:rFonts w:ascii="Times New Roman" w:hAnsi="Times New Roman" w:cs="Times New Roman"/>
        </w:rPr>
      </w:pPr>
    </w:p>
    <w:p w:rsidR="004A7975" w:rsidRPr="00B562B1" w:rsidRDefault="004A7975" w:rsidP="00C72412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</w:rPr>
        <w:t> </w:t>
      </w:r>
      <w:r w:rsidRPr="00B562B1">
        <w:rPr>
          <w:rFonts w:ascii="Times New Roman" w:hAnsi="Times New Roman" w:cs="Times New Roman"/>
          <w:b/>
        </w:rPr>
        <w:t>РЫНКАМ ХОТЯТ НАЗНАЧИТЬ НОВЫЙ СРОК. ЗА ФЕРМЕРОВ ОПЯТЬ ЗАСТУПИЛИСЬ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Коммерсант </w:t>
      </w:r>
    </w:p>
    <w:p w:rsidR="00B562B1" w:rsidRPr="00B562B1" w:rsidRDefault="00B562B1" w:rsidP="00B562B1">
      <w:pPr>
        <w:spacing w:after="0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23.11.2015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Предприниматели снова просят Госдуму пролонгировать сроки переходного периода по переводу сельхозрынков в объекты капитального строения еще на два года. Один раз власти уже продлевали сроки — на год для крупных городов, на пять лет для городов-миллионников. Если не дать очередные послабления, настаивают представители малого и среднего бизнеса, то только Москва потеряет 1,5 тыс. рабочих мест.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 распоряжении "Ъ" оказалась копия письма, в котором президент общественной организации малого и среднего предпринимательства "Опора России" Александр Калинин просит спикера Госдумы Сергея Нарышкина посодействовать в очередном продлении сроков переходного периода по переводу сельскохозяйственных рынков в объекты капитального строительства. "Опора" считает существующие требования к размещению рынков жесткими, что приведет к их закрытию и, как следствие, к росту цен в сетевых магазинах. По подсчетам "Опоры", сейчас из-за ухудшения рыночной конъюнктуры 70% потребителей в целях экономии вынуждены закупать продукты питания на ярмарках выходного дня и рынках. "Это практически единственный доступный канал сбыта отечественной сельхозпродукции для фермеров и небольших подсобных хозяйств... Их закрытие нанесет урон животноводству и овощеводству",— говорится в письме спикеру Госдумы. В московском отделении "Опоры" подтвердили "Ъ", что 17 ноября отправили соответствующее обращение в аппарат господина Нарышкина, но ответа пока нет.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 xml:space="preserve">Изменения в Трудовой кодекс, определившие новые требования к размещению рынков, внесены в декабре 2006 года. Но ни чиновники, ни владельцы рынков, ни сами фермеры почти за десять лет никак не могут привыкнуть к этим условиям. Изначально переходный срок должен был завершиться в 2013 году. В Москве этот процесс активизировался в 2010 году, когда мэром стал Сергей Собянин. В итоге в начале 2012 года в городе насчитывалось 67 рынков, в то время как в 1998 году — 198. По мере окончания переходного периода, отведенного для перевода рынков в </w:t>
      </w:r>
      <w:r w:rsidRPr="00B562B1">
        <w:rPr>
          <w:rFonts w:ascii="Times New Roman" w:hAnsi="Times New Roman" w:cs="Times New Roman"/>
        </w:rPr>
        <w:lastRenderedPageBreak/>
        <w:t>объекты капстроения, напряжение предпринимательского сообщества росло — затраты на строительство закладывали в арендную плату, что делало бизнес фермеров и торговцев менее маржинальным или даже убыточным. К проблеме подключился Минпромторг, предложив увеличить переходный период до 2020 года. Правительство эту идею не поддержало. В итоге было принято компромиссное решение: городам с населением до 1 млн человек продлили переходный период до 2020 года, тем, где живет более 1 млн человек,— до конца 2015 года. А в небольших населенных пунктах местные власти смогут сами определять сроки перевода сельхозрынков в постоянные объекты. "Сейчас, когда нам надо максимально вовлечь всю производимую продукцию в торговый оборот, было бы логичным дать право регионам, где расположены города-миллионники, самим определять возможную дату перевода рынков в капитальные сооружения",— заявил в пятницу "Ъ" замглавы Минпромторга Виктор Евтухов.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Ранее глава департамента торговли и услуг (ДТиУ) Москвы Алексей Немерюк заявлял, что столице не нужно продление переходного периода. Глава московского отделения "Опоры России" Александр Жарков говорит, что в городе 16 рынков остаются в некапитальных строениях, а соблюдение требований закона приведет к потере около 1,5 тыс. рабочих мест. Господин Немерюк уточнил, что у собственников десяти этих рынков уже готовы документы на строительство. "Если будет пролонгирован срок вступления новых требований к рынкам, то процесс строительства затянется",— отмечает чиновник. По данным ДТиУ, в Москве сейчас 46 сельскохозяйственных рынков, 30 из них размещены в капитальных строениях.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Первый проректор бизнес-школы "Мирбис" Владимир Уколов говорит, что городская политика управления рынками привела к сокращению в Москве количества продовольственных рынков на душу населения. "Например, в Германии этот показатель в 2,5 раза выше",— говорит эксперт. По его мнению, для России в целом и Москвы в частности рынки необходимы, так как доходы населения остаются неравномерными.</w:t>
      </w:r>
    </w:p>
    <w:p w:rsidR="00C72412" w:rsidRPr="00B562B1" w:rsidRDefault="00C72412" w:rsidP="00C72412">
      <w:pPr>
        <w:spacing w:after="0"/>
        <w:rPr>
          <w:rFonts w:ascii="Times New Roman" w:hAnsi="Times New Roman" w:cs="Times New Roman"/>
          <w:b/>
        </w:rPr>
      </w:pPr>
    </w:p>
    <w:p w:rsidR="004A7975" w:rsidRPr="00B562B1" w:rsidRDefault="00B562B1" w:rsidP="00C72412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t>МИНСЕЛЬХОЗ: ТОВАРООБОРОТ ПРОДОВОЛЬСТВИЯ МЕЖДУ РФ И УКРАИНОЙ ПРОДОЛЖАЕТ СНИЖАТЬСЯ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ТАСС </w:t>
      </w:r>
    </w:p>
    <w:p w:rsidR="00B562B1" w:rsidRPr="00B562B1" w:rsidRDefault="00B562B1" w:rsidP="00B562B1">
      <w:pPr>
        <w:spacing w:after="0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23.11.2015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Товарооборот продовольствия и сельскохозяйственной продукции между Россией и Украиной продолжает снижаться.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За 10 месяцев 2015 года этот показатель сократился в 2,2 раза по сравнению с аналогичным периодом предшествующего года, в 2014 году - упал в 1,8 раза год к году, сообщили ТАСС в пресс-службе Минсельхоза РФ.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По данным Федеральной таможенной службы РФ, в денежном выражении товарооборот указанной продукции между двумя странами в январе-октябре 2015 года составил $678,4 млн против $1,482 млрд за аналогичный период 2014 года, сообщает Минсельхоз.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Доля импорта с Украины в РФ в 2015 году оказалась примерно в 1,5 раза меньше ($267,7 млн), чем доля экспорта из РФ на Украину ($410,7 млн).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Экспорт сельхозпродукции и продовольствия из России на Украину за 10 месяцев 2015 года. в стоимостном выражении уменьшился на 20,6% год к году за счет снижения физических объемов поставок чая и кофе, ячменя, маргарина, рыбных консервов, кондитерских изделий из сахара, шоколада, готовых продуктов из зерна злаков, продуктов переработки овощей и фруктов, пищевых продуктов, водки, табака, отметили в Минсельхозе.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Одновременно наблюдался рост объемов поставок мяса птицы, мороженой рыбы, овощей, подсолнечного масла, алкогольных и безалкогольных напитков.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 xml:space="preserve">Импорт за этот период в стоимостном выражении упал в 3,6 раза год к году из-за снижения физических объемов закупок мяса птицы, молочных продуктов, овощей и фруктов, кукурузы, подсолнечного масла и маргарина, рыбных консервов, кондитерских изделий из сахара, шоколада, </w:t>
      </w:r>
      <w:r w:rsidRPr="00B562B1">
        <w:rPr>
          <w:rFonts w:ascii="Times New Roman" w:hAnsi="Times New Roman" w:cs="Times New Roman"/>
        </w:rPr>
        <w:lastRenderedPageBreak/>
        <w:t>готовых изделий из зерна злаков, продуктов переработки овощей и фруктов, пищевых продуктов, алкогольных и безалкогольных напитков, сообщает ведомство.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Вместе с тем выросли объемы поставок мяса крупного рогатого скота и свинины, а также семян подсолнечника.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Ведомство не приводит данные о том, как в 2015 году изменилась структура товарооборота продуктов питания между двумя странами. Однако по итогам 2014 года на Украину пришлось 3,1% в общем объеме российского экспорта сельскохозяйственного сырья и продовольствия, причем основными товарными позициями стали табак и табачные изделия, шоколад, чай и кофе, алкогольная и безалкогольная продукция, дрожжи, специи.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Импорт с Украины в прошлом году составил 2,5% в общем объеме российского импорта сельскохозяйственного сырья и продовольствия. В импорте превалировали молочная продукция, включая сыры, алкогольные и безалкогольные напитки, шоколад, овощи, мясо.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На двух стульях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С 1 января 2016 года вступят в силу положения соглашения об ассоциации Украины с ЕС о создании зоны свободной торговли. 30 октября премьер-министр РФ Дмитрий Медведев заявил о том, что Украина не может участвовать одновременно в двух зонах свободной торговли - с Евросоюзом и СНГ.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На основании этого положения правительство РФ приняло решение ввести с 1 января 2016 года продэмбарго в отношении Украины, сообщил ранее министр экономического развития РФ Алексей Улюкаев. В сентябре министр сообщал, что продовольственное эмбарго в отношении Украины будет таким же, как и в отношении стран ЕС.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 свою очередь, премьер-министр Украины Арсений Яценюк заявил, что в случае введения продэмбарго против украинских товаров это решение получит зеркальный ответ со стороны украинского правительства. Ранее он говорил, что Украина оценивает потери от продуктового эмбарго России в $600 млн.</w:t>
      </w:r>
    </w:p>
    <w:p w:rsidR="00C72412" w:rsidRPr="00B562B1" w:rsidRDefault="00C72412" w:rsidP="00C72412">
      <w:pPr>
        <w:spacing w:after="0"/>
        <w:rPr>
          <w:rFonts w:ascii="Times New Roman" w:hAnsi="Times New Roman" w:cs="Times New Roman"/>
          <w:b/>
        </w:rPr>
      </w:pPr>
    </w:p>
    <w:p w:rsidR="004A7975" w:rsidRPr="00B562B1" w:rsidRDefault="00B562B1" w:rsidP="00C72412">
      <w:pPr>
        <w:spacing w:after="0"/>
        <w:rPr>
          <w:rFonts w:ascii="Times New Roman" w:hAnsi="Times New Roman" w:cs="Times New Roman"/>
          <w:b/>
        </w:rPr>
      </w:pPr>
      <w:r w:rsidRPr="00B562B1">
        <w:rPr>
          <w:rFonts w:ascii="Times New Roman" w:hAnsi="Times New Roman" w:cs="Times New Roman"/>
          <w:b/>
        </w:rPr>
        <w:t>ФАС ВОЗБУДИЛА ДЕЛО ПРОТИВ БЕЛГОРОДСКОГО ГУБЕРНАТОРА САВЧЕНКО</w:t>
      </w:r>
    </w:p>
    <w:p w:rsidR="00B562B1" w:rsidRPr="00B562B1" w:rsidRDefault="00B562B1" w:rsidP="00B562B1">
      <w:pPr>
        <w:spacing w:after="0" w:line="240" w:lineRule="auto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 xml:space="preserve">INTERFAX.RU </w:t>
      </w:r>
    </w:p>
    <w:p w:rsidR="00B562B1" w:rsidRPr="00B562B1" w:rsidRDefault="00B562B1" w:rsidP="00B562B1">
      <w:pPr>
        <w:spacing w:after="0"/>
        <w:rPr>
          <w:rFonts w:ascii="Monotype Corsiva" w:hAnsi="Monotype Corsiva"/>
        </w:rPr>
      </w:pPr>
      <w:r w:rsidRPr="00B562B1">
        <w:rPr>
          <w:rFonts w:ascii="Monotype Corsiva" w:hAnsi="Monotype Corsiva"/>
        </w:rPr>
        <w:t>23.11.2015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ФАС возбудила дело против губернатора Белгородской области Евгения Савченко, заподозрив его в заключения с фондами соглашения, которое может привести к ограничению конкуренции на агропродовольственных рынках.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Как сообщается в пресс-релизе антимонопольной службы, в качестве ответчиков по делу привлечены фонд продвижения продукции производителей и фонд содействия развитию инженерной, строительной и социальной инфраструктуры Белгородской области, ООО "Дирекция инвестиционного развития", ОАО "Корпорация развития", ООО "Зеленая долина-Агро", ООО "Молочная компания "Зеленая долина-2", АО "Молочная компания "Зеленая долина", ООО "Нива", ОАО "Новопесчанское", СКПК "Лотос", ООО "Молочная компания "Северский Донец", Старооскольский ликероводочный завод "Люкс".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Рассмотрение дела назначено на 21 декабря 2015 года.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Основанием для возбуждения дела стали результаты внеплановой проверки департамента агропромышленного комплекса, фонда развития и фонда продвижения Белгородской области.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 ходе проверки была обнаружена копия протокола поручений об организации контроля поступлений и расходования внебюджетных фондов в 2014 году. Протокол был утвержден Савченко.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 xml:space="preserve">Департаменту АПК поручалось обеспечить возврат денежных средств во внебюджетные фонды от сельхозпроизводителей, финансируемых из бюджета области. В частности, в фонд содействия развитию инженерной, строительной и социальной инфраструктур области следовало вернуть 1 млрд 655 млн 504 тыс. рублей, в фонд продвижения продукции производителей Белгородской области - в сумме 1,26 млн рублей. Кроме этого, необходимо было обеспечить перечисление 15% </w:t>
      </w:r>
      <w:r w:rsidRPr="00B562B1">
        <w:rPr>
          <w:rFonts w:ascii="Times New Roman" w:hAnsi="Times New Roman" w:cs="Times New Roman"/>
        </w:rPr>
        <w:lastRenderedPageBreak/>
        <w:t>от федеральных средств по экономически значимым программам в сумме 177 млн 623 тыс. рублей в фонд продвижения продукции производителей Белгородской области.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Обнаруженные материалы подтверждали, что департамент не только выполнял эти поручения, но и учитывал движение средств при формировании проекта бюджета сельского хозяйства. При этом объемы средств внебюджетных фондов, заложенных в проекте бюджета на соответствующий год, соответствовали объемам средств, которые сельхозпроизводители должны были вернуть в фонды, и были привязаны к объему субсидий, подлежащих выделению сельхозпроизводителям из областного бюджета.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  <w:r w:rsidRPr="00B562B1">
        <w:rPr>
          <w:rFonts w:ascii="Times New Roman" w:hAnsi="Times New Roman" w:cs="Times New Roman"/>
        </w:rPr>
        <w:t>В ходе проверок фондов установлено, что их основным источником являются средства сельхозпроизводителей, перечисленные ими в виде добровольных пожертвований. При этом все сельхозпроизводители, перечислившие средства в фонды, являлись получателями субсидий из федерального и областного бюджетов. Средства внебюджетных фондов предоставлялись отдельным сельхозпроизводителям на льготных условиях по отношению к рыночным. При этом конкурсные процедуры не проводились.</w:t>
      </w:r>
    </w:p>
    <w:p w:rsidR="004A7975" w:rsidRPr="00B562B1" w:rsidRDefault="004A7975" w:rsidP="00C72412">
      <w:pPr>
        <w:spacing w:after="0"/>
        <w:rPr>
          <w:rFonts w:ascii="Times New Roman" w:hAnsi="Times New Roman" w:cs="Times New Roman"/>
        </w:rPr>
      </w:pPr>
    </w:p>
    <w:p w:rsidR="000434C6" w:rsidRPr="00B562B1" w:rsidRDefault="000434C6" w:rsidP="00C72412">
      <w:pPr>
        <w:spacing w:after="0"/>
        <w:rPr>
          <w:rFonts w:ascii="Times New Roman" w:hAnsi="Times New Roman" w:cs="Times New Roman"/>
        </w:rPr>
      </w:pPr>
    </w:p>
    <w:p w:rsidR="000434C6" w:rsidRPr="000434C6" w:rsidRDefault="00CE4ECC" w:rsidP="00C7241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2B1">
        <w:rPr>
          <w:rFonts w:ascii="Times New Roman" w:hAnsi="Times New Roman" w:cs="Times New Roman"/>
        </w:rPr>
        <w:t xml:space="preserve"> </w:t>
      </w:r>
    </w:p>
    <w:p w:rsidR="000434C6" w:rsidRPr="004A7975" w:rsidRDefault="000434C6" w:rsidP="00C72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4C6" w:rsidRPr="004A7975" w:rsidSect="002778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F7" w:rsidRDefault="00EE64F7" w:rsidP="00B562B1">
      <w:pPr>
        <w:spacing w:after="0" w:line="240" w:lineRule="auto"/>
      </w:pPr>
      <w:r>
        <w:separator/>
      </w:r>
    </w:p>
  </w:endnote>
  <w:endnote w:type="continuationSeparator" w:id="1">
    <w:p w:rsidR="00EE64F7" w:rsidRDefault="00EE64F7" w:rsidP="00B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F7" w:rsidRDefault="00EE64F7" w:rsidP="00B562B1">
      <w:pPr>
        <w:spacing w:after="0" w:line="240" w:lineRule="auto"/>
      </w:pPr>
      <w:r>
        <w:separator/>
      </w:r>
    </w:p>
  </w:footnote>
  <w:footnote w:type="continuationSeparator" w:id="1">
    <w:p w:rsidR="00EE64F7" w:rsidRDefault="00EE64F7" w:rsidP="00B5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82094"/>
      <w:docPartObj>
        <w:docPartGallery w:val="Page Numbers (Top of Page)"/>
        <w:docPartUnique/>
      </w:docPartObj>
    </w:sdtPr>
    <w:sdtContent>
      <w:p w:rsidR="00B562B1" w:rsidRDefault="00B562B1">
        <w:pPr>
          <w:pStyle w:val="a9"/>
          <w:jc w:val="right"/>
        </w:pPr>
        <w:fldSimple w:instr=" PAGE   \* MERGEFORMAT ">
          <w:r w:rsidR="000801ED">
            <w:rPr>
              <w:noProof/>
            </w:rPr>
            <w:t>3</w:t>
          </w:r>
        </w:fldSimple>
      </w:p>
    </w:sdtContent>
  </w:sdt>
  <w:p w:rsidR="00B562B1" w:rsidRDefault="00B562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8E6"/>
    <w:multiLevelType w:val="multilevel"/>
    <w:tmpl w:val="649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D45C4"/>
    <w:multiLevelType w:val="multilevel"/>
    <w:tmpl w:val="5612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255CD"/>
    <w:multiLevelType w:val="multilevel"/>
    <w:tmpl w:val="B5D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6A6"/>
    <w:rsid w:val="000434C6"/>
    <w:rsid w:val="000801ED"/>
    <w:rsid w:val="000E46A6"/>
    <w:rsid w:val="001B6900"/>
    <w:rsid w:val="001C6BB1"/>
    <w:rsid w:val="00277893"/>
    <w:rsid w:val="00310B50"/>
    <w:rsid w:val="004A7975"/>
    <w:rsid w:val="007B1B8C"/>
    <w:rsid w:val="00A262C6"/>
    <w:rsid w:val="00B562B1"/>
    <w:rsid w:val="00C42679"/>
    <w:rsid w:val="00C72412"/>
    <w:rsid w:val="00CE4ECC"/>
    <w:rsid w:val="00E64EA0"/>
    <w:rsid w:val="00E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3"/>
  </w:style>
  <w:style w:type="paragraph" w:styleId="1">
    <w:name w:val="heading 1"/>
    <w:basedOn w:val="a"/>
    <w:link w:val="10"/>
    <w:uiPriority w:val="9"/>
    <w:qFormat/>
    <w:rsid w:val="00A2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262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2C6"/>
  </w:style>
  <w:style w:type="character" w:customStyle="1" w:styleId="b-news-itemsource">
    <w:name w:val="b-news-item__source"/>
    <w:basedOn w:val="a0"/>
    <w:rsid w:val="00310B50"/>
  </w:style>
  <w:style w:type="character" w:customStyle="1" w:styleId="20">
    <w:name w:val="Заголовок 2 Знак"/>
    <w:basedOn w:val="a0"/>
    <w:link w:val="2"/>
    <w:uiPriority w:val="9"/>
    <w:semiHidden/>
    <w:rsid w:val="00310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materialdate">
    <w:name w:val="b-material__date"/>
    <w:basedOn w:val="a0"/>
    <w:rsid w:val="00310B50"/>
  </w:style>
  <w:style w:type="character" w:customStyle="1" w:styleId="b-materialtime">
    <w:name w:val="b-material__time"/>
    <w:basedOn w:val="a0"/>
    <w:rsid w:val="00310B50"/>
  </w:style>
  <w:style w:type="character" w:customStyle="1" w:styleId="b-materialpreview">
    <w:name w:val="b-material__preview"/>
    <w:basedOn w:val="a0"/>
    <w:rsid w:val="00310B50"/>
  </w:style>
  <w:style w:type="character" w:styleId="a5">
    <w:name w:val="Strong"/>
    <w:basedOn w:val="a0"/>
    <w:uiPriority w:val="22"/>
    <w:qFormat/>
    <w:rsid w:val="000434C6"/>
    <w:rPr>
      <w:b/>
      <w:bCs/>
    </w:rPr>
  </w:style>
  <w:style w:type="character" w:customStyle="1" w:styleId="printhtml">
    <w:name w:val="print_html"/>
    <w:basedOn w:val="a0"/>
    <w:rsid w:val="004A7975"/>
  </w:style>
  <w:style w:type="character" w:customStyle="1" w:styleId="printpdf">
    <w:name w:val="print_pdf"/>
    <w:basedOn w:val="a0"/>
    <w:rsid w:val="004A7975"/>
  </w:style>
  <w:style w:type="character" w:styleId="a6">
    <w:name w:val="Emphasis"/>
    <w:basedOn w:val="a0"/>
    <w:uiPriority w:val="20"/>
    <w:qFormat/>
    <w:rsid w:val="004A7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975"/>
    <w:rPr>
      <w:rFonts w:ascii="Tahoma" w:hAnsi="Tahoma" w:cs="Tahoma"/>
      <w:sz w:val="16"/>
      <w:szCs w:val="16"/>
    </w:rPr>
  </w:style>
  <w:style w:type="character" w:customStyle="1" w:styleId="element-invisible">
    <w:name w:val="element-invisible"/>
    <w:basedOn w:val="a0"/>
    <w:rsid w:val="004A7975"/>
  </w:style>
  <w:style w:type="paragraph" w:customStyle="1" w:styleId="21">
    <w:name w:val="Основной текст 21"/>
    <w:basedOn w:val="a"/>
    <w:rsid w:val="00B562B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5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2B1"/>
  </w:style>
  <w:style w:type="paragraph" w:styleId="ab">
    <w:name w:val="footer"/>
    <w:basedOn w:val="a"/>
    <w:link w:val="ac"/>
    <w:uiPriority w:val="99"/>
    <w:semiHidden/>
    <w:unhideWhenUsed/>
    <w:rsid w:val="00B5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14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9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59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60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827">
                  <w:marLeft w:val="0"/>
                  <w:marRight w:val="251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47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9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196">
              <w:marLeft w:val="0"/>
              <w:marRight w:val="251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info@akkor.ru</dc:creator>
  <cp:lastModifiedBy>info@akkor.ru</cp:lastModifiedBy>
  <cp:revision>7</cp:revision>
  <dcterms:created xsi:type="dcterms:W3CDTF">2015-11-24T07:44:00Z</dcterms:created>
  <dcterms:modified xsi:type="dcterms:W3CDTF">2015-11-24T10:36:00Z</dcterms:modified>
</cp:coreProperties>
</file>